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4DD5"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75" w:line="240" w:lineRule="auto"/>
        <w:outlineLvl w:val="0"/>
        <w:rPr>
          <w:rFonts w:ascii="Calibri" w:eastAsia="Times New Roman" w:hAnsi="Calibri" w:cs="Calibri"/>
          <w:b/>
          <w:bCs/>
          <w:color w:val="292929"/>
          <w:kern w:val="36"/>
          <w:sz w:val="48"/>
          <w:szCs w:val="48"/>
          <w14:ligatures w14:val="none"/>
        </w:rPr>
      </w:pPr>
      <w:r w:rsidRPr="004B22AE">
        <w:rPr>
          <w:rFonts w:ascii="Calibri" w:eastAsia="Times New Roman" w:hAnsi="Calibri" w:cs="Calibri"/>
          <w:b/>
          <w:bCs/>
          <w:color w:val="292929"/>
          <w:kern w:val="36"/>
          <w:sz w:val="48"/>
          <w:szCs w:val="48"/>
          <w14:ligatures w14:val="none"/>
        </w:rPr>
        <w:t>Từ 1-7-2024, liên thông điện tử thủ tục đăng ký khai sinh, cấp thẻ bảo hiểm cho trẻ dưới 6 tuổi</w:t>
      </w:r>
    </w:p>
    <w:p w14:paraId="7144E7BA" w14:textId="79ECB303" w:rsidR="004B22AE" w:rsidRPr="004B22AE" w:rsidRDefault="004B22AE" w:rsidP="004B22AE">
      <w:pPr>
        <w:spacing w:after="0" w:line="240" w:lineRule="auto"/>
        <w:rPr>
          <w:rFonts w:ascii="Calibri" w:eastAsia="Times New Roman" w:hAnsi="Calibri" w:cs="Calibri"/>
          <w:kern w:val="0"/>
          <w:sz w:val="24"/>
          <w:szCs w:val="24"/>
          <w14:ligatures w14:val="none"/>
        </w:rPr>
      </w:pPr>
      <w:r w:rsidRPr="004B22AE">
        <w:rPr>
          <w:rFonts w:ascii="Calibri" w:eastAsia="Times New Roman" w:hAnsi="Calibri" w:cs="Calibri"/>
          <w:noProof/>
          <w:color w:val="0000FF"/>
          <w:kern w:val="0"/>
          <w:sz w:val="24"/>
          <w:szCs w:val="24"/>
          <w:bdr w:val="single" w:sz="2" w:space="0" w:color="E5E7EB" w:frame="1"/>
          <w14:ligatures w14:val="none"/>
        </w:rPr>
        <w:drawing>
          <wp:inline distT="0" distB="0" distL="0" distR="0" wp14:anchorId="47DED842" wp14:editId="5682FB3A">
            <wp:extent cx="1938655" cy="607060"/>
            <wp:effectExtent l="0" t="0" r="4445" b="0"/>
            <wp:docPr id="6" name="Hình ảnh 6" descr="Báo Sài Gòn Giải Phóng">
              <a:hlinkClick xmlns:a="http://schemas.openxmlformats.org/drawingml/2006/main" r:id="rId4" tooltip="&quot;Báo Sài Gòn Giải Phó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áo Sài Gòn Giải Phóng">
                      <a:hlinkClick r:id="rId4" tooltip="&quot;Báo Sài Gòn Giải Phóng&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655" cy="607060"/>
                    </a:xfrm>
                    <a:prstGeom prst="rect">
                      <a:avLst/>
                    </a:prstGeom>
                    <a:noFill/>
                    <a:ln>
                      <a:noFill/>
                    </a:ln>
                  </pic:spPr>
                </pic:pic>
              </a:graphicData>
            </a:graphic>
          </wp:inline>
        </w:drawing>
      </w:r>
    </w:p>
    <w:p w14:paraId="7B7AB471" w14:textId="77777777" w:rsidR="004B22AE" w:rsidRPr="004B22AE" w:rsidRDefault="004B22AE" w:rsidP="004B22AE">
      <w:pPr>
        <w:spacing w:after="150"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t>12 giờ trước</w:t>
      </w:r>
      <w:hyperlink r:id="rId6" w:history="1">
        <w:r w:rsidRPr="004B22AE">
          <w:rPr>
            <w:rFonts w:ascii="Calibri" w:eastAsia="Times New Roman" w:hAnsi="Calibri" w:cs="Calibri"/>
            <w:color w:val="0000FF"/>
            <w:kern w:val="0"/>
            <w:sz w:val="24"/>
            <w:szCs w:val="24"/>
            <w:bdr w:val="single" w:sz="2" w:space="0" w:color="E5E7EB" w:frame="1"/>
            <w14:ligatures w14:val="none"/>
          </w:rPr>
          <w:t>194 liên quan</w:t>
        </w:r>
      </w:hyperlink>
      <w:hyperlink r:id="rId7" w:tgtFrame="_blank" w:history="1">
        <w:r w:rsidRPr="004B22AE">
          <w:rPr>
            <w:rFonts w:ascii="Calibri" w:eastAsia="Times New Roman" w:hAnsi="Calibri" w:cs="Calibri"/>
            <w:color w:val="0000FF"/>
            <w:kern w:val="0"/>
            <w:sz w:val="24"/>
            <w:szCs w:val="24"/>
            <w:bdr w:val="single" w:sz="2" w:space="0" w:color="E5E7EB" w:frame="1"/>
            <w14:ligatures w14:val="none"/>
          </w:rPr>
          <w:t>Gốc</w:t>
        </w:r>
      </w:hyperlink>
    </w:p>
    <w:p w14:paraId="2D694638" w14:textId="77777777" w:rsidR="004B22AE" w:rsidRPr="004B22AE" w:rsidRDefault="004B22AE" w:rsidP="004B22AE">
      <w:pPr>
        <w:pBdr>
          <w:top w:val="single" w:sz="2" w:space="8" w:color="E5E7EB"/>
          <w:left w:val="single" w:sz="2" w:space="8" w:color="E5E7EB"/>
          <w:bottom w:val="single" w:sz="2" w:space="8" w:color="E5E7EB"/>
          <w:right w:val="single" w:sz="2" w:space="8" w:color="E5E7EB"/>
        </w:pBdr>
        <w:spacing w:after="0" w:line="240" w:lineRule="auto"/>
        <w:outlineLvl w:val="2"/>
        <w:rPr>
          <w:rFonts w:ascii="Calibri" w:eastAsia="Times New Roman" w:hAnsi="Calibri" w:cs="Calibri"/>
          <w:b/>
          <w:bCs/>
          <w:color w:val="292929"/>
          <w:kern w:val="0"/>
          <w:sz w:val="27"/>
          <w:szCs w:val="27"/>
          <w14:ligatures w14:val="none"/>
        </w:rPr>
      </w:pPr>
      <w:r w:rsidRPr="004B22AE">
        <w:rPr>
          <w:rFonts w:ascii="Calibri" w:eastAsia="Times New Roman" w:hAnsi="Calibri" w:cs="Calibri"/>
          <w:b/>
          <w:bCs/>
          <w:color w:val="292929"/>
          <w:kern w:val="0"/>
          <w:sz w:val="27"/>
          <w:szCs w:val="27"/>
          <w14:ligatures w14:val="none"/>
        </w:rPr>
        <w:t>Ngày 10-6, Chính phủ ban hành Nghị định số 63/2024/NĐ-CP quy định việc thực hiện liên thông điện tử 2 nhóm thủ tục hành chính (TTHC): đăng ký khai sinh, đăng ký thường trú, cấp thẻ bảo hiểm y tế (BHYT) cho trẻ em dưới 6 tuổi; đăng ký khai tử, xóa đăng ký thường trú, giải quyết mai táng phí, tử tuất.</w:t>
      </w:r>
    </w:p>
    <w:p w14:paraId="3AB78CDD" w14:textId="77777777" w:rsidR="004B22AE" w:rsidRPr="004B22AE" w:rsidRDefault="004B22AE" w:rsidP="004B22AE">
      <w:pPr>
        <w:spacing w:after="0" w:line="600" w:lineRule="atLeast"/>
        <w:rPr>
          <w:rFonts w:ascii="Calibri" w:eastAsia="Times New Roman" w:hAnsi="Calibri" w:cs="Calibri"/>
          <w:color w:val="292929"/>
          <w:kern w:val="0"/>
          <w:sz w:val="23"/>
          <w:szCs w:val="23"/>
          <w14:ligatures w14:val="none"/>
        </w:rPr>
      </w:pPr>
      <w:r w:rsidRPr="004B22AE">
        <w:rPr>
          <w:rFonts w:ascii="Calibri" w:eastAsia="Times New Roman" w:hAnsi="Calibri" w:cs="Calibri"/>
          <w:color w:val="292929"/>
          <w:kern w:val="0"/>
          <w:sz w:val="23"/>
          <w:szCs w:val="23"/>
          <w:bdr w:val="single" w:sz="2" w:space="0" w:color="E5E7EB" w:frame="1"/>
          <w14:ligatures w14:val="none"/>
        </w:rPr>
        <w:t>0:00</w:t>
      </w:r>
      <w:r w:rsidRPr="004B22AE">
        <w:rPr>
          <w:rFonts w:ascii="Calibri" w:eastAsia="Times New Roman" w:hAnsi="Calibri" w:cs="Calibri"/>
          <w:color w:val="292929"/>
          <w:kern w:val="0"/>
          <w:sz w:val="23"/>
          <w:szCs w:val="23"/>
          <w14:ligatures w14:val="none"/>
        </w:rPr>
        <w:t>/ 2:01</w:t>
      </w:r>
    </w:p>
    <w:p w14:paraId="2EA3CECE" w14:textId="77777777" w:rsidR="004B22AE" w:rsidRPr="004B22AE" w:rsidRDefault="004B22AE" w:rsidP="004B22AE">
      <w:pPr>
        <w:spacing w:after="0" w:line="240" w:lineRule="auto"/>
        <w:rPr>
          <w:rFonts w:ascii="Calibri" w:eastAsia="Times New Roman" w:hAnsi="Calibri" w:cs="Calibri"/>
          <w:color w:val="292929"/>
          <w:kern w:val="0"/>
          <w:sz w:val="23"/>
          <w:szCs w:val="23"/>
          <w14:ligatures w14:val="none"/>
        </w:rPr>
      </w:pPr>
      <w:r w:rsidRPr="004B22AE">
        <w:rPr>
          <w:rFonts w:ascii="Calibri" w:eastAsia="Times New Roman" w:hAnsi="Calibri" w:cs="Calibri"/>
          <w:color w:val="292929"/>
          <w:kern w:val="0"/>
          <w:sz w:val="23"/>
          <w:szCs w:val="23"/>
          <w:bdr w:val="single" w:sz="2" w:space="0" w:color="E5E7EB" w:frame="1"/>
          <w14:ligatures w14:val="none"/>
        </w:rPr>
        <w:t>Nữ miền Nam</w:t>
      </w:r>
    </w:p>
    <w:p w14:paraId="5D418A7A" w14:textId="673C31D4" w:rsidR="004B22AE" w:rsidRPr="004B22AE" w:rsidRDefault="004B22AE" w:rsidP="004B22AE">
      <w:pPr>
        <w:spacing w:line="240" w:lineRule="auto"/>
        <w:rPr>
          <w:rFonts w:ascii="Calibri" w:eastAsia="Times New Roman" w:hAnsi="Calibri" w:cs="Calibri"/>
          <w:kern w:val="0"/>
          <w:sz w:val="24"/>
          <w:szCs w:val="24"/>
          <w14:ligatures w14:val="none"/>
        </w:rPr>
      </w:pPr>
      <w:r w:rsidRPr="004B22AE">
        <w:rPr>
          <w:rFonts w:ascii="Calibri" w:eastAsia="Times New Roman" w:hAnsi="Calibri" w:cs="Calibri"/>
          <w:noProof/>
          <w:kern w:val="0"/>
          <w:sz w:val="24"/>
          <w:szCs w:val="24"/>
          <w14:ligatures w14:val="none"/>
        </w:rPr>
        <w:drawing>
          <wp:inline distT="0" distB="0" distL="0" distR="0" wp14:anchorId="7284B413" wp14:editId="67CAB986">
            <wp:extent cx="5972175" cy="3392805"/>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3392805"/>
                    </a:xfrm>
                    <a:prstGeom prst="rect">
                      <a:avLst/>
                    </a:prstGeom>
                  </pic:spPr>
                </pic:pic>
              </a:graphicData>
            </a:graphic>
          </wp:inline>
        </w:drawing>
      </w:r>
    </w:p>
    <w:p w14:paraId="366A5BC3"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360" w:lineRule="atLeast"/>
        <w:jc w:val="center"/>
        <w:rPr>
          <w:rFonts w:ascii="Calibri" w:eastAsia="Times New Roman" w:hAnsi="Calibri" w:cs="Calibri"/>
          <w:kern w:val="0"/>
          <w:sz w:val="27"/>
          <w:szCs w:val="27"/>
          <w14:ligatures w14:val="none"/>
        </w:rPr>
      </w:pPr>
      <w:r w:rsidRPr="004B22AE">
        <w:rPr>
          <w:rFonts w:ascii="Calibri" w:eastAsia="Times New Roman" w:hAnsi="Calibri" w:cs="Calibri"/>
          <w:i/>
          <w:iCs/>
          <w:kern w:val="0"/>
          <w:sz w:val="27"/>
          <w:szCs w:val="27"/>
          <w:bdr w:val="single" w:sz="2" w:space="0" w:color="E5E7EB" w:frame="1"/>
          <w14:ligatures w14:val="none"/>
        </w:rPr>
        <w:t>Từ 1-7-2024, sẽ liên thông điện tử thủ tục đăng ký khai sinh, đăng ký thường trú, cấp thẻ bảo hiểm cho trẻ dưới 6 tuổi</w:t>
      </w:r>
    </w:p>
    <w:p w14:paraId="294F21D5"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t>Việc thực hiện TTHC liên thông điện tử tại nghị định này có giá trị pháp lý như các hình thức khác theo quy định của </w:t>
      </w:r>
      <w:hyperlink r:id="rId9" w:history="1">
        <w:r w:rsidRPr="004B22AE">
          <w:rPr>
            <w:rFonts w:ascii="Calibri" w:eastAsia="Times New Roman" w:hAnsi="Calibri" w:cs="Calibri"/>
            <w:color w:val="247A88"/>
            <w:kern w:val="0"/>
            <w:sz w:val="24"/>
            <w:szCs w:val="24"/>
            <w:bdr w:val="single" w:sz="2" w:space="0" w:color="E5E7EB" w:frame="1"/>
            <w14:ligatures w14:val="none"/>
          </w:rPr>
          <w:t>pháp luật</w:t>
        </w:r>
      </w:hyperlink>
      <w:r w:rsidRPr="004B22AE">
        <w:rPr>
          <w:rFonts w:ascii="Calibri" w:eastAsia="Times New Roman" w:hAnsi="Calibri" w:cs="Calibri"/>
          <w:kern w:val="0"/>
          <w:sz w:val="24"/>
          <w:szCs w:val="24"/>
          <w14:ligatures w14:val="none"/>
        </w:rPr>
        <w:t>; không làm tăng chi phí cho cá nhân, tổ chức.</w:t>
      </w:r>
    </w:p>
    <w:p w14:paraId="5BD1A19F"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lastRenderedPageBreak/>
        <w:t>Các thông tin trong tờ khai điện tử quy định tại nghị định này đã có trong Cơ sở Dữ liệu quốc gia về dân cư, Cơ sở Dữ liệu hộ tịch điện tử, Cơ sở Dữ liệu quốc gia về bảo hiểm, hệ thống thông tin có liên quan, được phần mềm dịch vụ công liên thông điền tự động. Hồ sơ đăng ký thường trú, xóa đăng ký thường trú, hồ sơ cấp thẻ </w:t>
      </w:r>
      <w:hyperlink r:id="rId10" w:history="1">
        <w:r w:rsidRPr="004B22AE">
          <w:rPr>
            <w:rFonts w:ascii="Calibri" w:eastAsia="Times New Roman" w:hAnsi="Calibri" w:cs="Calibri"/>
            <w:color w:val="247A88"/>
            <w:kern w:val="0"/>
            <w:sz w:val="24"/>
            <w:szCs w:val="24"/>
            <w:bdr w:val="single" w:sz="2" w:space="0" w:color="E5E7EB" w:frame="1"/>
            <w14:ligatures w14:val="none"/>
          </w:rPr>
          <w:t>BHYT</w:t>
        </w:r>
      </w:hyperlink>
      <w:r w:rsidRPr="004B22AE">
        <w:rPr>
          <w:rFonts w:ascii="Calibri" w:eastAsia="Times New Roman" w:hAnsi="Calibri" w:cs="Calibri"/>
          <w:kern w:val="0"/>
          <w:sz w:val="24"/>
          <w:szCs w:val="24"/>
          <w14:ligatures w14:val="none"/>
        </w:rPr>
        <w:t> cho trẻ em dưới 6 tuổi, hồ sơ đề nghị hưởng trợ cấp mai táng, tử tuất được đồng bộ về phần mềm nghiệp vụ của các bộ, ngành có liên quan.</w:t>
      </w:r>
    </w:p>
    <w:p w14:paraId="14324846"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t>Nghị định quy định, người nộp hồ sơ truy cập vào Cổng Dịch vụ công quốc gia (tại địa chỉ dichvucong.gov.vn) hoặc trên ứng dụng VNelD, lựa chọn mục dịch vụ để thực hiện nộp hồ sơ trực tuyến và lệ phí theo quy định.</w:t>
      </w:r>
    </w:p>
    <w:p w14:paraId="680B7467"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t>Kể từ ngày ban hành Nghị định 63/2024/NĐ-CP (10-6-2024) đến ngày 1-7-2024, các hệ thống thông tin giải quyết TTHC cấp bộ, cấp tỉnh, phần mềm nghiệp vụ của các bộ, ngành, địa phương phải nâng cấp, hoàn thiện kết nối, chia sẻ, thông suốt với Cơ sở Dữ liệu quốc gia về dân cư, Cơ sở Dữ liệu quốc gia về thủ tục hành chính, Cơ sở Dữ liệu quốc gia về bảo hiểm, cơ sở dữ liệu chuyên ngành và phần mềm dịch vụ công liên thông theo quy định của nghị định này.</w:t>
      </w:r>
    </w:p>
    <w:p w14:paraId="1A7D7E7E"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rPr>
          <w:rFonts w:ascii="Calibri" w:eastAsia="Times New Roman" w:hAnsi="Calibri" w:cs="Calibri"/>
          <w:kern w:val="0"/>
          <w:sz w:val="24"/>
          <w:szCs w:val="24"/>
          <w14:ligatures w14:val="none"/>
        </w:rPr>
      </w:pPr>
      <w:r w:rsidRPr="004B22AE">
        <w:rPr>
          <w:rFonts w:ascii="Calibri" w:eastAsia="Times New Roman" w:hAnsi="Calibri" w:cs="Calibri"/>
          <w:kern w:val="0"/>
          <w:sz w:val="24"/>
          <w:szCs w:val="24"/>
          <w14:ligatures w14:val="none"/>
        </w:rPr>
        <w:t>Kể từ ngày 1-7-2024, hồ sơ 2 nhóm thủ tục hành chính liên thông điện tử được tiếp nhận, giải quyết theo quy định tại Nghị định 63/2024/NĐ-CP.</w:t>
      </w:r>
    </w:p>
    <w:p w14:paraId="5B6A70E7" w14:textId="77777777" w:rsidR="004B22AE" w:rsidRPr="004B22AE" w:rsidRDefault="004B22AE" w:rsidP="004B22AE">
      <w:pPr>
        <w:pBdr>
          <w:top w:val="single" w:sz="2" w:space="0" w:color="E5E7EB"/>
          <w:left w:val="single" w:sz="2" w:space="0" w:color="E5E7EB"/>
          <w:bottom w:val="single" w:sz="2" w:space="0" w:color="E5E7EB"/>
          <w:right w:val="single" w:sz="2" w:space="0" w:color="E5E7EB"/>
        </w:pBdr>
        <w:spacing w:after="225" w:line="240" w:lineRule="auto"/>
        <w:jc w:val="right"/>
        <w:rPr>
          <w:rFonts w:ascii="Calibri" w:eastAsia="Times New Roman" w:hAnsi="Calibri" w:cs="Calibri"/>
          <w:kern w:val="0"/>
          <w:sz w:val="24"/>
          <w:szCs w:val="24"/>
          <w14:ligatures w14:val="none"/>
        </w:rPr>
      </w:pPr>
      <w:r w:rsidRPr="004B22AE">
        <w:rPr>
          <w:rFonts w:ascii="Calibri" w:eastAsia="Times New Roman" w:hAnsi="Calibri" w:cs="Calibri"/>
          <w:b/>
          <w:bCs/>
          <w:kern w:val="0"/>
          <w:sz w:val="24"/>
          <w:szCs w:val="24"/>
          <w:bdr w:val="single" w:sz="2" w:space="0" w:color="E5E7EB" w:frame="1"/>
          <w14:ligatures w14:val="none"/>
        </w:rPr>
        <w:t>PHAN THẢO</w:t>
      </w:r>
    </w:p>
    <w:p w14:paraId="7B0663F3" w14:textId="77777777" w:rsidR="00AC53A7" w:rsidRDefault="00AC53A7"/>
    <w:sectPr w:rsidR="00AC53A7" w:rsidSect="006C047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AE"/>
    <w:rsid w:val="004B22AE"/>
    <w:rsid w:val="006C0472"/>
    <w:rsid w:val="00AC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A4E0"/>
  <w15:chartTrackingRefBased/>
  <w15:docId w15:val="{2FCD0A8F-7F19-448D-9190-1EFEF24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4B22AE"/>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u3">
    <w:name w:val="heading 3"/>
    <w:basedOn w:val="Binhthng"/>
    <w:link w:val="u3Char"/>
    <w:uiPriority w:val="9"/>
    <w:qFormat/>
    <w:rsid w:val="004B22AE"/>
    <w:pPr>
      <w:spacing w:before="100" w:beforeAutospacing="1" w:after="100" w:afterAutospacing="1" w:line="240" w:lineRule="auto"/>
      <w:outlineLvl w:val="2"/>
    </w:pPr>
    <w:rPr>
      <w:rFonts w:eastAsia="Times New Roman" w:cs="Times New Roman"/>
      <w:b/>
      <w:bCs/>
      <w:kern w:val="0"/>
      <w:sz w:val="27"/>
      <w:szCs w:val="27"/>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B22AE"/>
    <w:rPr>
      <w:rFonts w:eastAsia="Times New Roman" w:cs="Times New Roman"/>
      <w:b/>
      <w:bCs/>
      <w:kern w:val="36"/>
      <w:sz w:val="48"/>
      <w:szCs w:val="48"/>
      <w14:ligatures w14:val="none"/>
    </w:rPr>
  </w:style>
  <w:style w:type="character" w:customStyle="1" w:styleId="u3Char">
    <w:name w:val="Đầu đề 3 Char"/>
    <w:basedOn w:val="Phngmcinhcuaoanvn"/>
    <w:link w:val="u3"/>
    <w:uiPriority w:val="9"/>
    <w:rsid w:val="004B22AE"/>
    <w:rPr>
      <w:rFonts w:eastAsia="Times New Roman" w:cs="Times New Roman"/>
      <w:b/>
      <w:bCs/>
      <w:kern w:val="0"/>
      <w:sz w:val="27"/>
      <w:szCs w:val="27"/>
      <w14:ligatures w14:val="none"/>
    </w:rPr>
  </w:style>
  <w:style w:type="character" w:styleId="Siuktni">
    <w:name w:val="Hyperlink"/>
    <w:basedOn w:val="Phngmcinhcuaoanvn"/>
    <w:uiPriority w:val="99"/>
    <w:semiHidden/>
    <w:unhideWhenUsed/>
    <w:rsid w:val="004B22AE"/>
    <w:rPr>
      <w:color w:val="0000FF"/>
      <w:u w:val="single"/>
    </w:rPr>
  </w:style>
  <w:style w:type="character" w:customStyle="1" w:styleId="current-time">
    <w:name w:val="current-time"/>
    <w:basedOn w:val="Phngmcinhcuaoanvn"/>
    <w:rsid w:val="004B22AE"/>
  </w:style>
  <w:style w:type="paragraph" w:customStyle="1" w:styleId="text">
    <w:name w:val="text"/>
    <w:basedOn w:val="Binhthng"/>
    <w:rsid w:val="004B22AE"/>
    <w:pPr>
      <w:spacing w:before="100" w:beforeAutospacing="1" w:after="100" w:afterAutospacing="1" w:line="240" w:lineRule="auto"/>
    </w:pPr>
    <w:rPr>
      <w:rFonts w:eastAsia="Times New Roman" w:cs="Times New Roman"/>
      <w:kern w:val="0"/>
      <w:sz w:val="24"/>
      <w:szCs w:val="24"/>
      <w14:ligatures w14:val="none"/>
    </w:rPr>
  </w:style>
  <w:style w:type="character" w:styleId="Nhnmanh">
    <w:name w:val="Emphasis"/>
    <w:basedOn w:val="Phngmcinhcuaoanvn"/>
    <w:uiPriority w:val="20"/>
    <w:qFormat/>
    <w:rsid w:val="004B22AE"/>
    <w:rPr>
      <w:i/>
      <w:iCs/>
    </w:rPr>
  </w:style>
  <w:style w:type="character" w:styleId="Manh">
    <w:name w:val="Strong"/>
    <w:basedOn w:val="Phngmcinhcuaoanvn"/>
    <w:uiPriority w:val="22"/>
    <w:qFormat/>
    <w:rsid w:val="004B2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10282">
      <w:bodyDiv w:val="1"/>
      <w:marLeft w:val="0"/>
      <w:marRight w:val="0"/>
      <w:marTop w:val="0"/>
      <w:marBottom w:val="0"/>
      <w:divBdr>
        <w:top w:val="none" w:sz="0" w:space="0" w:color="auto"/>
        <w:left w:val="none" w:sz="0" w:space="0" w:color="auto"/>
        <w:bottom w:val="none" w:sz="0" w:space="0" w:color="auto"/>
        <w:right w:val="none" w:sz="0" w:space="0" w:color="auto"/>
      </w:divBdr>
      <w:divsChild>
        <w:div w:id="272787108">
          <w:marLeft w:val="0"/>
          <w:marRight w:val="0"/>
          <w:marTop w:val="0"/>
          <w:marBottom w:val="150"/>
          <w:divBdr>
            <w:top w:val="single" w:sz="2" w:space="0" w:color="E5E7EB"/>
            <w:left w:val="single" w:sz="2" w:space="0" w:color="E5E7EB"/>
            <w:bottom w:val="single" w:sz="2" w:space="0" w:color="E5E7EB"/>
            <w:right w:val="single" w:sz="2" w:space="0" w:color="E5E7EB"/>
          </w:divBdr>
          <w:divsChild>
            <w:div w:id="1714234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972951">
          <w:marLeft w:val="0"/>
          <w:marRight w:val="0"/>
          <w:marTop w:val="0"/>
          <w:marBottom w:val="0"/>
          <w:divBdr>
            <w:top w:val="single" w:sz="2" w:space="0" w:color="E5E7EB"/>
            <w:left w:val="single" w:sz="2" w:space="0" w:color="E5E7EB"/>
            <w:bottom w:val="single" w:sz="2" w:space="0" w:color="E5E7EB"/>
            <w:right w:val="single" w:sz="2" w:space="0" w:color="E5E7EB"/>
          </w:divBdr>
          <w:divsChild>
            <w:div w:id="353387798">
              <w:marLeft w:val="0"/>
              <w:marRight w:val="240"/>
              <w:marTop w:val="0"/>
              <w:marBottom w:val="0"/>
              <w:divBdr>
                <w:top w:val="single" w:sz="2" w:space="0" w:color="E5E7EB"/>
                <w:left w:val="single" w:sz="2" w:space="0" w:color="E5E7EB"/>
                <w:bottom w:val="single" w:sz="2" w:space="0" w:color="E5E7EB"/>
                <w:right w:val="single" w:sz="2" w:space="0" w:color="E5E7EB"/>
              </w:divBdr>
              <w:divsChild>
                <w:div w:id="1360277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7683771">
              <w:marLeft w:val="0"/>
              <w:marRight w:val="105"/>
              <w:marTop w:val="0"/>
              <w:marBottom w:val="0"/>
              <w:divBdr>
                <w:top w:val="none" w:sz="0" w:space="0" w:color="auto"/>
                <w:left w:val="none" w:sz="0" w:space="0" w:color="auto"/>
                <w:bottom w:val="none" w:sz="0" w:space="0" w:color="auto"/>
                <w:right w:val="none" w:sz="0" w:space="0" w:color="auto"/>
              </w:divBdr>
              <w:divsChild>
                <w:div w:id="49112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2667344">
          <w:marLeft w:val="0"/>
          <w:marRight w:val="0"/>
          <w:marTop w:val="225"/>
          <w:marBottom w:val="0"/>
          <w:divBdr>
            <w:top w:val="single" w:sz="2" w:space="0" w:color="E5E7EB"/>
            <w:left w:val="single" w:sz="2" w:space="0" w:color="E5E7EB"/>
            <w:bottom w:val="single" w:sz="2" w:space="0" w:color="E5E7EB"/>
            <w:right w:val="single" w:sz="2" w:space="0" w:color="E5E7EB"/>
          </w:divBdr>
          <w:divsChild>
            <w:div w:id="1819806333">
              <w:marLeft w:val="0"/>
              <w:marRight w:val="0"/>
              <w:marTop w:val="0"/>
              <w:marBottom w:val="225"/>
              <w:divBdr>
                <w:top w:val="single" w:sz="2" w:space="0" w:color="E5E7EB"/>
                <w:left w:val="single" w:sz="2" w:space="0" w:color="E5E7EB"/>
                <w:bottom w:val="single" w:sz="2" w:space="0" w:color="E5E7EB"/>
                <w:right w:val="single" w:sz="2" w:space="0" w:color="E5E7EB"/>
              </w:divBdr>
            </w:div>
          </w:divsChild>
        </w:div>
      </w:divsChild>
    </w:div>
    <w:div w:id="212037415">
      <w:bodyDiv w:val="1"/>
      <w:marLeft w:val="0"/>
      <w:marRight w:val="0"/>
      <w:marTop w:val="0"/>
      <w:marBottom w:val="0"/>
      <w:divBdr>
        <w:top w:val="none" w:sz="0" w:space="0" w:color="auto"/>
        <w:left w:val="none" w:sz="0" w:space="0" w:color="auto"/>
        <w:bottom w:val="none" w:sz="0" w:space="0" w:color="auto"/>
        <w:right w:val="none" w:sz="0" w:space="0" w:color="auto"/>
      </w:divBdr>
      <w:divsChild>
        <w:div w:id="15619193">
          <w:marLeft w:val="0"/>
          <w:marRight w:val="0"/>
          <w:marTop w:val="0"/>
          <w:marBottom w:val="150"/>
          <w:divBdr>
            <w:top w:val="single" w:sz="2" w:space="0" w:color="E5E7EB"/>
            <w:left w:val="single" w:sz="2" w:space="0" w:color="E5E7EB"/>
            <w:bottom w:val="single" w:sz="2" w:space="0" w:color="E5E7EB"/>
            <w:right w:val="single" w:sz="2" w:space="0" w:color="E5E7EB"/>
          </w:divBdr>
          <w:divsChild>
            <w:div w:id="2117093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04224">
          <w:marLeft w:val="0"/>
          <w:marRight w:val="0"/>
          <w:marTop w:val="0"/>
          <w:marBottom w:val="0"/>
          <w:divBdr>
            <w:top w:val="single" w:sz="2" w:space="0" w:color="E5E7EB"/>
            <w:left w:val="single" w:sz="2" w:space="0" w:color="E5E7EB"/>
            <w:bottom w:val="single" w:sz="2" w:space="0" w:color="E5E7EB"/>
            <w:right w:val="single" w:sz="2" w:space="0" w:color="E5E7EB"/>
          </w:divBdr>
          <w:divsChild>
            <w:div w:id="941842704">
              <w:marLeft w:val="0"/>
              <w:marRight w:val="240"/>
              <w:marTop w:val="0"/>
              <w:marBottom w:val="0"/>
              <w:divBdr>
                <w:top w:val="single" w:sz="2" w:space="0" w:color="E5E7EB"/>
                <w:left w:val="single" w:sz="2" w:space="0" w:color="E5E7EB"/>
                <w:bottom w:val="single" w:sz="2" w:space="0" w:color="E5E7EB"/>
                <w:right w:val="single" w:sz="2" w:space="0" w:color="E5E7EB"/>
              </w:divBdr>
              <w:divsChild>
                <w:div w:id="1119714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2564465">
              <w:marLeft w:val="0"/>
              <w:marRight w:val="105"/>
              <w:marTop w:val="0"/>
              <w:marBottom w:val="0"/>
              <w:divBdr>
                <w:top w:val="none" w:sz="0" w:space="0" w:color="auto"/>
                <w:left w:val="none" w:sz="0" w:space="0" w:color="auto"/>
                <w:bottom w:val="none" w:sz="0" w:space="0" w:color="auto"/>
                <w:right w:val="none" w:sz="0" w:space="0" w:color="auto"/>
              </w:divBdr>
              <w:divsChild>
                <w:div w:id="149402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540036">
          <w:marLeft w:val="0"/>
          <w:marRight w:val="0"/>
          <w:marTop w:val="225"/>
          <w:marBottom w:val="0"/>
          <w:divBdr>
            <w:top w:val="single" w:sz="2" w:space="0" w:color="E5E7EB"/>
            <w:left w:val="single" w:sz="2" w:space="0" w:color="E5E7EB"/>
            <w:bottom w:val="single" w:sz="2" w:space="0" w:color="E5E7EB"/>
            <w:right w:val="single" w:sz="2" w:space="0" w:color="E5E7EB"/>
          </w:divBdr>
          <w:divsChild>
            <w:div w:id="1694771629">
              <w:marLeft w:val="0"/>
              <w:marRight w:val="0"/>
              <w:marTop w:val="0"/>
              <w:marBottom w:val="225"/>
              <w:divBdr>
                <w:top w:val="single" w:sz="2" w:space="0" w:color="E5E7EB"/>
                <w:left w:val="single" w:sz="2" w:space="0" w:color="E5E7EB"/>
                <w:bottom w:val="single" w:sz="2" w:space="0" w:color="E5E7EB"/>
                <w:right w:val="single" w:sz="2" w:space="0" w:color="E5E7EB"/>
              </w:divBdr>
            </w:div>
          </w:divsChild>
        </w:div>
      </w:divsChild>
    </w:div>
    <w:div w:id="339746360">
      <w:bodyDiv w:val="1"/>
      <w:marLeft w:val="0"/>
      <w:marRight w:val="0"/>
      <w:marTop w:val="0"/>
      <w:marBottom w:val="0"/>
      <w:divBdr>
        <w:top w:val="none" w:sz="0" w:space="0" w:color="auto"/>
        <w:left w:val="none" w:sz="0" w:space="0" w:color="auto"/>
        <w:bottom w:val="none" w:sz="0" w:space="0" w:color="auto"/>
        <w:right w:val="none" w:sz="0" w:space="0" w:color="auto"/>
      </w:divBdr>
      <w:divsChild>
        <w:div w:id="1721174930">
          <w:marLeft w:val="0"/>
          <w:marRight w:val="0"/>
          <w:marTop w:val="0"/>
          <w:marBottom w:val="150"/>
          <w:divBdr>
            <w:top w:val="single" w:sz="2" w:space="0" w:color="E5E7EB"/>
            <w:left w:val="single" w:sz="2" w:space="0" w:color="E5E7EB"/>
            <w:bottom w:val="single" w:sz="2" w:space="0" w:color="E5E7EB"/>
            <w:right w:val="single" w:sz="2" w:space="0" w:color="E5E7EB"/>
          </w:divBdr>
          <w:divsChild>
            <w:div w:id="14305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9382524">
          <w:marLeft w:val="0"/>
          <w:marRight w:val="0"/>
          <w:marTop w:val="0"/>
          <w:marBottom w:val="0"/>
          <w:divBdr>
            <w:top w:val="single" w:sz="2" w:space="0" w:color="E5E7EB"/>
            <w:left w:val="single" w:sz="2" w:space="0" w:color="E5E7EB"/>
            <w:bottom w:val="single" w:sz="2" w:space="0" w:color="E5E7EB"/>
            <w:right w:val="single" w:sz="2" w:space="0" w:color="E5E7EB"/>
          </w:divBdr>
          <w:divsChild>
            <w:div w:id="59640270">
              <w:marLeft w:val="0"/>
              <w:marRight w:val="240"/>
              <w:marTop w:val="0"/>
              <w:marBottom w:val="0"/>
              <w:divBdr>
                <w:top w:val="single" w:sz="2" w:space="0" w:color="E5E7EB"/>
                <w:left w:val="single" w:sz="2" w:space="0" w:color="E5E7EB"/>
                <w:bottom w:val="single" w:sz="2" w:space="0" w:color="E5E7EB"/>
                <w:right w:val="single" w:sz="2" w:space="0" w:color="E5E7EB"/>
              </w:divBdr>
              <w:divsChild>
                <w:div w:id="1984768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048688">
              <w:marLeft w:val="0"/>
              <w:marRight w:val="105"/>
              <w:marTop w:val="0"/>
              <w:marBottom w:val="0"/>
              <w:divBdr>
                <w:top w:val="none" w:sz="0" w:space="0" w:color="auto"/>
                <w:left w:val="none" w:sz="0" w:space="0" w:color="auto"/>
                <w:bottom w:val="none" w:sz="0" w:space="0" w:color="auto"/>
                <w:right w:val="none" w:sz="0" w:space="0" w:color="auto"/>
              </w:divBdr>
              <w:divsChild>
                <w:div w:id="82158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246827">
          <w:marLeft w:val="0"/>
          <w:marRight w:val="0"/>
          <w:marTop w:val="225"/>
          <w:marBottom w:val="0"/>
          <w:divBdr>
            <w:top w:val="single" w:sz="2" w:space="0" w:color="E5E7EB"/>
            <w:left w:val="single" w:sz="2" w:space="0" w:color="E5E7EB"/>
            <w:bottom w:val="single" w:sz="2" w:space="0" w:color="E5E7EB"/>
            <w:right w:val="single" w:sz="2" w:space="0" w:color="E5E7EB"/>
          </w:divBdr>
          <w:divsChild>
            <w:div w:id="1382822017">
              <w:marLeft w:val="0"/>
              <w:marRight w:val="0"/>
              <w:marTop w:val="0"/>
              <w:marBottom w:val="225"/>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aomoi.com/tu-1-7-2024-lien-thong-dien-tu-thu-tuc-dang-ky-khai-sinh-cap-the-bao-hiem-cho-tre-duoi-6-tuoi-r49335266.ep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moi.com/tthc-t35940152.ep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aomoi.com/bao-hiem-y-te-tag12837.epi" TargetMode="External"/><Relationship Id="rId4" Type="http://schemas.openxmlformats.org/officeDocument/2006/relationships/hyperlink" Target="https://baomoi.com/bao-sai-gon-giai-phong-p17.epi" TargetMode="External"/><Relationship Id="rId9" Type="http://schemas.openxmlformats.org/officeDocument/2006/relationships/hyperlink" Target="https://baomoi.com/phap-luat.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maianh12112007@gmail.com</dc:creator>
  <cp:keywords/>
  <dc:description/>
  <cp:lastModifiedBy>maianh12112007@gmail.com</cp:lastModifiedBy>
  <cp:revision>1</cp:revision>
  <dcterms:created xsi:type="dcterms:W3CDTF">2024-06-11T01:28:00Z</dcterms:created>
  <dcterms:modified xsi:type="dcterms:W3CDTF">2024-06-11T01:33:00Z</dcterms:modified>
</cp:coreProperties>
</file>